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产品防护控制程序</w:t>
      </w:r>
    </w:p>
    <w:p/>
    <w:p>
      <w:pPr>
        <w:pStyle w:val="Heading1"/>
      </w:pPr>
      <w:r>
        <w:t>1. 目的</w:t>
      </w:r>
    </w:p>
    <w:p>
      <w:r>
        <w:t>为对产品进行防护，确保产品在内部处理和交付到预定地点期间保持符合要求，特制定本程序。</w:t>
      </w:r>
    </w:p>
    <w:p>
      <w:pPr>
        <w:pStyle w:val="Heading1"/>
      </w:pPr>
      <w:r>
        <w:t>2. 范围</w:t>
      </w:r>
    </w:p>
    <w:p>
      <w:r>
        <w:t>本程序适用于公司内所有产品的标识、搬运、包装、贮存和保护。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产品防护</w:t>
            </w:r>
          </w:p>
        </w:tc>
        <w:tc>
          <w:tcPr>
            <w:tcW w:type="dxa" w:w="4153"/>
          </w:tcPr>
          <w:p>
            <w:r>
              <w:t>为保护产品而采取的措施</w:t>
            </w:r>
          </w:p>
        </w:tc>
      </w:tr>
      <w:tr>
        <w:tc>
          <w:tcPr>
            <w:tcW w:type="dxa" w:w="4153"/>
          </w:tcPr>
          <w:p>
            <w:r>
              <w:t>特殊防护</w:t>
            </w:r>
          </w:p>
        </w:tc>
        <w:tc>
          <w:tcPr>
            <w:tcW w:type="dxa" w:w="4153"/>
          </w:tcPr>
          <w:p>
            <w:r>
              <w:t>对有特殊性要求产品的专门防护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生产部</w:t>
      </w:r>
    </w:p>
    <w:p>
      <w:pPr>
        <w:pStyle w:val="ListBullet"/>
      </w:pPr>
      <w:r>
        <w:t>负责生产过程中的产品防护</w:t>
      </w:r>
    </w:p>
    <w:p>
      <w:pPr>
        <w:pStyle w:val="ListBullet"/>
      </w:pPr>
      <w:r>
        <w:t>负责产品搬运和贮存</w:t>
      </w:r>
    </w:p>
    <w:p>
      <w:pPr>
        <w:pStyle w:val="Heading2"/>
      </w:pPr>
      <w:r>
        <w:t>4.2 质量部</w:t>
      </w:r>
    </w:p>
    <w:p>
      <w:pPr>
        <w:pStyle w:val="ListBullet"/>
      </w:pPr>
      <w:r>
        <w:t>负责防护效果的监督检查</w:t>
      </w:r>
    </w:p>
    <w:p>
      <w:pPr>
        <w:pStyle w:val="Heading2"/>
      </w:pPr>
      <w:r>
        <w:t>4.3 销售部</w:t>
      </w:r>
    </w:p>
    <w:p>
      <w:pPr>
        <w:pStyle w:val="ListBullet"/>
      </w:pPr>
      <w:r>
        <w:t>负责产品交付过程中的防护</w:t>
      </w:r>
    </w:p>
    <w:p>
      <w:pPr>
        <w:pStyle w:val="Heading2"/>
      </w:pPr>
      <w:r>
        <w:t>4.4 仓库</w:t>
      </w:r>
    </w:p>
    <w:p>
      <w:pPr>
        <w:pStyle w:val="ListBullet"/>
      </w:pPr>
      <w:r>
        <w:t>负责库存产品的防护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标识</w:t>
      </w:r>
    </w:p>
    <w:p>
      <w:pPr>
        <w:pStyle w:val="ListBullet"/>
      </w:pPr>
      <w:r>
        <w:t>产品标识清晰、完整</w:t>
      </w:r>
    </w:p>
    <w:p>
      <w:pPr>
        <w:pStyle w:val="ListBullet"/>
      </w:pPr>
      <w:r>
        <w:t>标识内容：名称、规格、批次、数量、状态</w:t>
      </w:r>
    </w:p>
    <w:p>
      <w:pPr>
        <w:pStyle w:val="ListBullet"/>
      </w:pPr>
      <w:r>
        <w:t>检验状态标识：合格、不合格、待检</w:t>
      </w:r>
    </w:p>
    <w:p>
      <w:pPr>
        <w:pStyle w:val="ListBullet"/>
      </w:pPr>
      <w:r>
        <w:t>标识应牢固、不易脱落</w:t>
      </w:r>
    </w:p>
    <w:p>
      <w:pPr>
        <w:pStyle w:val="Heading2"/>
      </w:pPr>
      <w:r>
        <w:t>5.2 搬运</w:t>
      </w:r>
    </w:p>
    <w:p>
      <w:pPr>
        <w:pStyle w:val="Heading3"/>
      </w:pPr>
      <w:r>
        <w:t>5.2.1 搬运工具</w:t>
      </w:r>
    </w:p>
    <w:p>
      <w:pPr>
        <w:pStyle w:val="ListBullet"/>
      </w:pPr>
      <w:r>
        <w:t>使用合适的搬运工具（叉车、手推车等）</w:t>
      </w:r>
    </w:p>
    <w:p>
      <w:pPr>
        <w:pStyle w:val="ListBullet"/>
      </w:pPr>
      <w:r>
        <w:t>搬运工具定期维护</w:t>
      </w:r>
    </w:p>
    <w:p>
      <w:pPr>
        <w:pStyle w:val="ListBullet"/>
      </w:pPr>
      <w:r>
        <w:t>特殊产品使用专用工装</w:t>
      </w:r>
    </w:p>
    <w:p>
      <w:pPr>
        <w:pStyle w:val="Heading3"/>
      </w:pPr>
      <w:r>
        <w:t>5.2.2 搬运要求</w:t>
      </w:r>
    </w:p>
    <w:p>
      <w:pPr>
        <w:pStyle w:val="ListBullet"/>
      </w:pPr>
      <w:r>
        <w:t>轻拿轻放，防止磕碰</w:t>
      </w:r>
    </w:p>
    <w:p>
      <w:pPr>
        <w:pStyle w:val="ListBullet"/>
      </w:pPr>
      <w:r>
        <w:t>堆码整齐，不超过限高</w:t>
      </w:r>
    </w:p>
    <w:p>
      <w:pPr>
        <w:pStyle w:val="ListBullet"/>
      </w:pPr>
      <w:r>
        <w:t>易碎品、精密件特别防护</w:t>
      </w:r>
    </w:p>
    <w:p>
      <w:pPr>
        <w:pStyle w:val="Heading2"/>
      </w:pPr>
      <w:r>
        <w:t>5.3 包装</w:t>
      </w:r>
    </w:p>
    <w:p>
      <w:pPr>
        <w:pStyle w:val="Heading3"/>
      </w:pPr>
      <w:r>
        <w:t>5.3.1 包装要求</w:t>
      </w:r>
    </w:p>
    <w:p>
      <w:pPr>
        <w:pStyle w:val="ListBullet"/>
      </w:pPr>
      <w:r>
        <w:t>按包装规范执行</w:t>
      </w:r>
    </w:p>
    <w:p>
      <w:pPr>
        <w:pStyle w:val="ListBullet"/>
      </w:pPr>
      <w:r>
        <w:t>包装材料符合要求</w:t>
      </w:r>
    </w:p>
    <w:p>
      <w:pPr>
        <w:pStyle w:val="ListBullet"/>
      </w:pPr>
      <w:r>
        <w:t>包装牢固，能保护产品</w:t>
      </w:r>
    </w:p>
    <w:p>
      <w:pPr>
        <w:pStyle w:val="Heading3"/>
      </w:pPr>
      <w:r>
        <w:t>5.3.2 包装标识</w:t>
      </w:r>
    </w:p>
    <w:p>
      <w:pPr>
        <w:pStyle w:val="ListBullet"/>
      </w:pPr>
      <w:r>
        <w:t>包装箱标识清晰</w:t>
      </w:r>
    </w:p>
    <w:p>
      <w:pPr>
        <w:pStyle w:val="ListBullet"/>
      </w:pPr>
      <w:r>
        <w:t>标识：产品名称、数量、重量、方向标识</w:t>
      </w:r>
    </w:p>
    <w:p>
      <w:pPr>
        <w:pStyle w:val="ListBullet"/>
      </w:pPr>
      <w:r>
        <w:t>必要时标识防潮、防震、向上等</w:t>
      </w:r>
    </w:p>
    <w:p>
      <w:pPr>
        <w:pStyle w:val="Heading2"/>
      </w:pPr>
      <w:r>
        <w:t>5.4 贮存</w:t>
      </w:r>
    </w:p>
    <w:p>
      <w:pPr>
        <w:pStyle w:val="Heading3"/>
      </w:pPr>
      <w:r>
        <w:t>5.4.1 贮存环境</w:t>
      </w:r>
    </w:p>
    <w:p>
      <w:pPr>
        <w:pStyle w:val="ListBullet"/>
      </w:pPr>
      <w:r>
        <w:t>仓库通风、干燥、清洁</w:t>
      </w:r>
    </w:p>
    <w:p>
      <w:pPr>
        <w:pStyle w:val="ListBullet"/>
      </w:pPr>
      <w:r>
        <w:t>控制温度、湿度在要求范围内</w:t>
      </w:r>
    </w:p>
    <w:p>
      <w:pPr>
        <w:pStyle w:val="ListBullet"/>
      </w:pPr>
      <w:r>
        <w:t>远离火源、腐蚀源</w:t>
      </w:r>
    </w:p>
    <w:p>
      <w:pPr>
        <w:pStyle w:val="Heading3"/>
      </w:pPr>
      <w:r>
        <w:t>5.4.2 贮存管理</w:t>
      </w:r>
    </w:p>
    <w:p>
      <w:pPr>
        <w:pStyle w:val="ListBullet"/>
      </w:pPr>
      <w:r>
        <w:t>分类分区存放</w:t>
      </w:r>
    </w:p>
    <w:p>
      <w:pPr>
        <w:pStyle w:val="ListBullet"/>
      </w:pPr>
      <w:r>
        <w:t>先进先出</w:t>
      </w:r>
    </w:p>
    <w:p>
      <w:pPr>
        <w:pStyle w:val="ListBullet"/>
      </w:pPr>
      <w:r>
        <w:t>定期检查库存产品状态</w:t>
      </w:r>
    </w:p>
    <w:p>
      <w:pPr>
        <w:pStyle w:val="ListBullet"/>
      </w:pPr>
      <w:r>
        <w:t>发现异常及时处理</w:t>
      </w:r>
    </w:p>
    <w:p>
      <w:pPr>
        <w:pStyle w:val="Heading2"/>
      </w:pPr>
      <w:r>
        <w:t>5.5 保护</w:t>
      </w:r>
    </w:p>
    <w:p>
      <w:pPr>
        <w:pStyle w:val="Heading3"/>
      </w:pPr>
      <w:r>
        <w:t>5.5.1 防锈保护</w:t>
      </w:r>
    </w:p>
    <w:p>
      <w:pPr>
        <w:pStyle w:val="ListBullet"/>
      </w:pPr>
      <w:r>
        <w:t>金属产品涂防锈油</w:t>
      </w:r>
    </w:p>
    <w:p>
      <w:pPr>
        <w:pStyle w:val="ListBullet"/>
      </w:pPr>
      <w:r>
        <w:t>使用防锈包装</w:t>
      </w:r>
    </w:p>
    <w:p>
      <w:pPr>
        <w:pStyle w:val="ListBullet"/>
      </w:pPr>
      <w:r>
        <w:t>定期检查锈蚀情况</w:t>
      </w:r>
    </w:p>
    <w:p>
      <w:pPr>
        <w:pStyle w:val="Heading3"/>
      </w:pPr>
      <w:r>
        <w:t>5.5.2 防尘保护</w:t>
      </w:r>
    </w:p>
    <w:p>
      <w:pPr>
        <w:pStyle w:val="ListBullet"/>
      </w:pPr>
      <w:r>
        <w:t>产品覆盖防尘罩</w:t>
      </w:r>
    </w:p>
    <w:p>
      <w:pPr>
        <w:pStyle w:val="ListBullet"/>
      </w:pPr>
      <w:r>
        <w:t>清洁贮存环境</w:t>
      </w:r>
    </w:p>
    <w:p>
      <w:pPr>
        <w:pStyle w:val="Heading3"/>
      </w:pPr>
      <w:r>
        <w:t>5.5.3 特殊产品防护</w:t>
      </w:r>
    </w:p>
    <w:p>
      <w:pPr>
        <w:pStyle w:val="ListBullet"/>
      </w:pPr>
      <w:r>
        <w:t>化学品：按 MSDS 要求贮存</w:t>
      </w:r>
    </w:p>
    <w:p>
      <w:pPr>
        <w:pStyle w:val="ListBullet"/>
      </w:pPr>
      <w:r>
        <w:t>危险品：专库贮存，专人管理</w:t>
      </w:r>
    </w:p>
    <w:p>
      <w:pPr>
        <w:pStyle w:val="ListBullet"/>
      </w:pPr>
      <w:r>
        <w:t>客户财产：特别标识，单独存放</w:t>
      </w:r>
    </w:p>
    <w:p>
      <w:pPr>
        <w:pStyle w:val="Heading2"/>
      </w:pPr>
      <w:r>
        <w:t>5.6 交付防护</w:t>
      </w:r>
    </w:p>
    <w:p>
      <w:pPr>
        <w:pStyle w:val="ListBullet"/>
      </w:pPr>
      <w:r>
        <w:t>选择合适的运输方式</w:t>
      </w:r>
    </w:p>
    <w:p>
      <w:pPr>
        <w:pStyle w:val="ListBullet"/>
      </w:pPr>
      <w:r>
        <w:t>装车时合理码放</w:t>
      </w:r>
    </w:p>
    <w:p>
      <w:pPr>
        <w:pStyle w:val="ListBullet"/>
      </w:pPr>
      <w:r>
        <w:t>长途运输采取加固措施</w:t>
      </w:r>
    </w:p>
    <w:p>
      <w:pPr>
        <w:pStyle w:val="ListBullet"/>
      </w:pPr>
      <w:r>
        <w:t>必要时购买运输保险</w:t>
      </w:r>
    </w:p>
    <w:p>
      <w:pPr>
        <w:pStyle w:val="Heading2"/>
      </w:pPr>
      <w:r>
        <w:t>5.7 防护检查</w:t>
      </w:r>
    </w:p>
    <w:p>
      <w:pPr>
        <w:pStyle w:val="ListBullet"/>
      </w:pPr>
      <w:r>
        <w:t>质量部定期检查防护状况</w:t>
      </w:r>
    </w:p>
    <w:p>
      <w:pPr>
        <w:pStyle w:val="ListBullet"/>
      </w:pPr>
      <w:r>
        <w:t>检查内容：标识、包装、贮存环境</w:t>
      </w:r>
    </w:p>
    <w:p>
      <w:pPr>
        <w:pStyle w:val="ListBullet"/>
      </w:pPr>
      <w:r>
        <w:t>发现问题及时纠正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QP-008</w:t>
            </w:r>
          </w:p>
        </w:tc>
        <w:tc>
          <w:tcPr>
            <w:tcW w:type="dxa" w:w="4153"/>
          </w:tcPr>
          <w:p>
            <w:r>
              <w:t>生产过程控制程序</w:t>
            </w:r>
          </w:p>
        </w:tc>
      </w:tr>
      <w:tr>
        <w:tc>
          <w:tcPr>
            <w:tcW w:type="dxa" w:w="4153"/>
          </w:tcPr>
          <w:p>
            <w:r>
              <w:t>QP-013</w:t>
            </w:r>
          </w:p>
        </w:tc>
        <w:tc>
          <w:tcPr>
            <w:tcW w:type="dxa" w:w="4153"/>
          </w:tcPr>
          <w:p>
            <w:r>
              <w:t>仓储管理控制程序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FM-064</w:t>
            </w:r>
          </w:p>
        </w:tc>
        <w:tc>
          <w:tcPr>
            <w:tcW w:type="dxa" w:w="2769"/>
          </w:tcPr>
          <w:p>
            <w:r>
              <w:t>产品防护检查表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FM-065</w:t>
            </w:r>
          </w:p>
        </w:tc>
        <w:tc>
          <w:tcPr>
            <w:tcW w:type="dxa" w:w="2769"/>
          </w:tcPr>
          <w:p>
            <w:r>
              <w:t>包装检验记录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FM-066</w:t>
            </w:r>
          </w:p>
        </w:tc>
        <w:tc>
          <w:tcPr>
            <w:tcW w:type="dxa" w:w="2769"/>
          </w:tcPr>
          <w:p>
            <w:r>
              <w:t>库存产品状态检查表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FM-067</w:t>
            </w:r>
          </w:p>
        </w:tc>
        <w:tc>
          <w:tcPr>
            <w:tcW w:type="dxa" w:w="2769"/>
          </w:tcPr>
          <w:p>
            <w:r>
              <w:t>交付防护记录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A：产品防护流程图</w:t>
      </w:r>
    </w:p>
    <w:p>
      <w:r>
        <w:t>标识 → 搬运 → 包装 → 贮存 → 保护 → 交付 → 检查</w:t>
      </w:r>
    </w:p>
    <w:p>
      <w:pPr>
        <w:pStyle w:val="Heading2"/>
      </w:pPr>
      <w:r>
        <w:t>附录 B：产品防护要求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产品类型</w:t>
            </w:r>
          </w:p>
        </w:tc>
        <w:tc>
          <w:tcPr>
            <w:tcW w:type="dxa" w:w="2769"/>
          </w:tcPr>
          <w:p>
            <w:r>
              <w:t>防护重点</w:t>
            </w:r>
          </w:p>
        </w:tc>
        <w:tc>
          <w:tcPr>
            <w:tcW w:type="dxa" w:w="2769"/>
          </w:tcPr>
          <w:p>
            <w:r>
              <w:t>注意事项</w:t>
            </w:r>
          </w:p>
        </w:tc>
      </w:tr>
      <w:tr>
        <w:tc>
          <w:tcPr>
            <w:tcW w:type="dxa" w:w="2769"/>
          </w:tcPr>
          <w:p>
            <w:r>
              <w:t>金属产品</w:t>
            </w:r>
          </w:p>
        </w:tc>
        <w:tc>
          <w:tcPr>
            <w:tcW w:type="dxa" w:w="2769"/>
          </w:tcPr>
          <w:p>
            <w:r>
              <w:t>防锈、防磕碰</w:t>
            </w:r>
          </w:p>
        </w:tc>
        <w:tc>
          <w:tcPr>
            <w:tcW w:type="dxa" w:w="2769"/>
          </w:tcPr>
          <w:p>
            <w:r>
              <w:t>涂油、干燥环境</w:t>
            </w:r>
          </w:p>
        </w:tc>
      </w:tr>
      <w:tr>
        <w:tc>
          <w:tcPr>
            <w:tcW w:type="dxa" w:w="2769"/>
          </w:tcPr>
          <w:p>
            <w:r>
              <w:t>精密产品</w:t>
            </w:r>
          </w:p>
        </w:tc>
        <w:tc>
          <w:tcPr>
            <w:tcW w:type="dxa" w:w="2769"/>
          </w:tcPr>
          <w:p>
            <w:r>
              <w:t>防震、防尘</w:t>
            </w:r>
          </w:p>
        </w:tc>
        <w:tc>
          <w:tcPr>
            <w:tcW w:type="dxa" w:w="2769"/>
          </w:tcPr>
          <w:p>
            <w:r>
              <w:t>专用包装、轻拿轻放</w:t>
            </w:r>
          </w:p>
        </w:tc>
      </w:tr>
      <w:tr>
        <w:tc>
          <w:tcPr>
            <w:tcW w:type="dxa" w:w="2769"/>
          </w:tcPr>
          <w:p>
            <w:r>
              <w:t>电子产品</w:t>
            </w:r>
          </w:p>
        </w:tc>
        <w:tc>
          <w:tcPr>
            <w:tcW w:type="dxa" w:w="2769"/>
          </w:tcPr>
          <w:p>
            <w:r>
              <w:t>防静电、防潮</w:t>
            </w:r>
          </w:p>
        </w:tc>
        <w:tc>
          <w:tcPr>
            <w:tcW w:type="dxa" w:w="2769"/>
          </w:tcPr>
          <w:p>
            <w:r>
              <w:t>防静电包装、干燥剂</w:t>
            </w:r>
          </w:p>
        </w:tc>
      </w:tr>
      <w:tr>
        <w:tc>
          <w:tcPr>
            <w:tcW w:type="dxa" w:w="2769"/>
          </w:tcPr>
          <w:p>
            <w:r>
              <w:t>化学品</w:t>
            </w:r>
          </w:p>
        </w:tc>
        <w:tc>
          <w:tcPr>
            <w:tcW w:type="dxa" w:w="2769"/>
          </w:tcPr>
          <w:p>
            <w:r>
              <w:t>防泄漏、防火</w:t>
            </w:r>
          </w:p>
        </w:tc>
        <w:tc>
          <w:tcPr>
            <w:tcW w:type="dxa" w:w="2769"/>
          </w:tcPr>
          <w:p>
            <w:r>
              <w:t>专库贮存、MSDS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